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DA" w:rsidRPr="00794BE9" w:rsidRDefault="006F4ADA" w:rsidP="00364191">
      <w:pPr>
        <w:rPr>
          <w:b/>
          <w:lang w:val="es-AR"/>
        </w:rPr>
      </w:pPr>
      <w:r w:rsidRPr="00794BE9">
        <w:rPr>
          <w:rFonts w:ascii="Arial" w:hAnsi="Arial" w:cs="Arial"/>
          <w:b/>
          <w:sz w:val="24"/>
          <w:szCs w:val="24"/>
          <w:lang w:val="es-AR"/>
        </w:rPr>
        <w:t>INDUSTRIAS CREATIVAS</w:t>
      </w:r>
    </w:p>
    <w:p w:rsidR="00364191" w:rsidRPr="00794BE9" w:rsidRDefault="00364191" w:rsidP="00364191">
      <w:pPr>
        <w:rPr>
          <w:lang w:val="es-AR"/>
        </w:rPr>
      </w:pPr>
      <w:r w:rsidRPr="00794BE9">
        <w:rPr>
          <w:b/>
          <w:lang w:val="es-AR"/>
        </w:rPr>
        <w:t>Modalidad</w:t>
      </w:r>
      <w:r w:rsidR="006F4ADA" w:rsidRPr="00794BE9">
        <w:rPr>
          <w:lang w:val="es-AR"/>
        </w:rPr>
        <w:t xml:space="preserve">: </w:t>
      </w:r>
      <w:r w:rsidR="00176CF8" w:rsidRPr="00794BE9">
        <w:rPr>
          <w:lang w:val="es-AR"/>
        </w:rPr>
        <w:t>virtual</w:t>
      </w:r>
    </w:p>
    <w:p w:rsidR="00364191" w:rsidRPr="00794BE9" w:rsidRDefault="00364191" w:rsidP="00364191">
      <w:pPr>
        <w:rPr>
          <w:rFonts w:cstheme="minorHAnsi"/>
          <w:lang w:val="es-AR"/>
        </w:rPr>
      </w:pPr>
      <w:r w:rsidRPr="00794BE9">
        <w:rPr>
          <w:b/>
          <w:lang w:val="es-AR"/>
        </w:rPr>
        <w:t xml:space="preserve">Fecha: </w:t>
      </w:r>
      <w:r w:rsidR="006B063F" w:rsidRPr="006B063F">
        <w:rPr>
          <w:b/>
          <w:lang w:val="es-AR"/>
        </w:rPr>
        <w:t>03/09 al 27/09</w:t>
      </w:r>
    </w:p>
    <w:p w:rsidR="00364191" w:rsidRPr="00794BE9" w:rsidRDefault="00364191" w:rsidP="00364191">
      <w:pPr>
        <w:rPr>
          <w:b/>
          <w:shd w:val="clear" w:color="auto" w:fill="FFFFFF"/>
          <w:lang w:val="es-AR"/>
        </w:rPr>
      </w:pPr>
      <w:r w:rsidRPr="00794BE9">
        <w:rPr>
          <w:b/>
          <w:shd w:val="clear" w:color="auto" w:fill="FFFFFF"/>
          <w:lang w:val="es-AR"/>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sidRPr="00794BE9">
        <w:rPr>
          <w:i/>
          <w:lang w:val="es-AR"/>
        </w:rPr>
        <w:t xml:space="preserve">GESTIÓN, PRODUCCION Y ADMINISTRACION CULTURAL, </w:t>
      </w:r>
      <w:r>
        <w:rPr>
          <w:lang w:val="es-ES"/>
        </w:rPr>
        <w:t>admite y estimula la participación en los cursos en forma independiente, sin que sea requisito la participación en el programa completo.</w:t>
      </w:r>
    </w:p>
    <w:p w:rsidR="007269E6" w:rsidRDefault="00364191" w:rsidP="007269E6">
      <w:pPr>
        <w:ind w:left="-142"/>
        <w:rPr>
          <w:lang w:val="es-AR"/>
        </w:rPr>
      </w:pPr>
      <w:r w:rsidRPr="00794BE9">
        <w:rPr>
          <w:b/>
          <w:lang w:val="es-AR"/>
        </w:rPr>
        <w:t>Temario</w:t>
      </w:r>
      <w:r w:rsidR="007269E6" w:rsidRPr="007269E6">
        <w:rPr>
          <w:lang w:val="es-AR"/>
        </w:rPr>
        <w:t xml:space="preserve">. </w:t>
      </w:r>
    </w:p>
    <w:p w:rsidR="006F4ADA" w:rsidRPr="006F4ADA" w:rsidRDefault="006F4ADA" w:rsidP="006F4ADA">
      <w:pPr>
        <w:ind w:left="-142"/>
        <w:rPr>
          <w:lang w:val="es-AR"/>
        </w:rPr>
      </w:pPr>
      <w:r w:rsidRPr="006F4ADA">
        <w:rPr>
          <w:lang w:val="es-AR"/>
        </w:rPr>
        <w:t xml:space="preserve">Relación entre economía / cultura / industrias culturales, como generadoras de desarrollo local, social y cultural. </w:t>
      </w:r>
    </w:p>
    <w:p w:rsidR="00364191" w:rsidRPr="00794BE9" w:rsidRDefault="00364191" w:rsidP="00364191">
      <w:pPr>
        <w:pStyle w:val="Prrafodelista"/>
        <w:ind w:left="-142"/>
        <w:rPr>
          <w:b/>
          <w:u w:val="single"/>
          <w:lang w:val="es-AR"/>
        </w:rPr>
      </w:pPr>
      <w:r w:rsidRPr="00794BE9">
        <w:rPr>
          <w:b/>
          <w:u w:val="single"/>
          <w:lang w:val="es-AR"/>
        </w:rPr>
        <w:t>DESTINATARIOS</w:t>
      </w:r>
    </w:p>
    <w:p w:rsidR="00364191" w:rsidRDefault="00364191" w:rsidP="00364191">
      <w:pPr>
        <w:pStyle w:val="Prrafodelista"/>
        <w:ind w:left="-142"/>
        <w:rPr>
          <w:lang w:val="es-ES"/>
        </w:rPr>
      </w:pPr>
      <w:r>
        <w:rPr>
          <w:lang w:val="es-ES"/>
        </w:rPr>
        <w:t xml:space="preserve">El </w:t>
      </w:r>
      <w:r w:rsidR="00794BE9">
        <w:rPr>
          <w:lang w:val="es-ES"/>
        </w:rPr>
        <w:t>Curso se</w:t>
      </w:r>
      <w:r w:rsidRPr="007269E6">
        <w:rPr>
          <w:sz w:val="20"/>
          <w:lang w:val="es-ES"/>
        </w:rPr>
        <w:t xml:space="preserv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794BE9" w:rsidP="00364191">
      <w:pPr>
        <w:pStyle w:val="Prrafodelista"/>
        <w:ind w:left="-142"/>
        <w:rPr>
          <w:lang w:val="es-ES"/>
        </w:rPr>
      </w:pPr>
      <w:r>
        <w:rPr>
          <w:lang w:val="es-ES"/>
        </w:rPr>
        <w:t>Asimismo,</w:t>
      </w:r>
      <w:r w:rsidR="00364191">
        <w:rPr>
          <w:lang w:val="es-ES"/>
        </w:rPr>
        <w:t xml:space="preserve">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Pr="00794BE9" w:rsidRDefault="00364191" w:rsidP="00364191">
      <w:pPr>
        <w:pStyle w:val="Prrafodelista"/>
        <w:ind w:left="-142"/>
        <w:rPr>
          <w:lang w:val="es-AR"/>
        </w:rPr>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Pr="00794BE9" w:rsidRDefault="00364191" w:rsidP="00364191">
      <w:pPr>
        <w:pStyle w:val="Prrafodelista"/>
        <w:ind w:left="-142"/>
        <w:rPr>
          <w:b/>
          <w:lang w:val="es-AR"/>
        </w:rPr>
      </w:pPr>
    </w:p>
    <w:p w:rsidR="00364191" w:rsidRPr="00794BE9" w:rsidRDefault="00364191" w:rsidP="00364191">
      <w:pPr>
        <w:pStyle w:val="Prrafodelista"/>
        <w:ind w:left="-142"/>
        <w:rPr>
          <w:b/>
          <w:lang w:val="es-AR"/>
        </w:rPr>
      </w:pPr>
      <w:r w:rsidRPr="00794BE9">
        <w:rPr>
          <w:b/>
          <w:lang w:val="es-AR"/>
        </w:rPr>
        <w:t>DOCUMENTACIÓN A PRESENTAR PARA LA INSCRIPCIÓN</w:t>
      </w:r>
    </w:p>
    <w:p w:rsidR="00364191" w:rsidRPr="00794BE9" w:rsidRDefault="00364191" w:rsidP="00364191">
      <w:pPr>
        <w:pStyle w:val="Prrafodelista"/>
        <w:ind w:left="-142"/>
        <w:rPr>
          <w:lang w:val="es-AR"/>
        </w:rPr>
      </w:pPr>
      <w:r w:rsidRPr="00794BE9">
        <w:rPr>
          <w:lang w:val="es-AR"/>
        </w:rPr>
        <w:t xml:space="preserve"> Formulario de </w:t>
      </w:r>
      <w:r w:rsidR="00794BE9" w:rsidRPr="00794BE9">
        <w:rPr>
          <w:lang w:val="es-AR"/>
        </w:rPr>
        <w:t>Matrícula cumplimentado</w:t>
      </w:r>
      <w:r w:rsidRPr="00794BE9">
        <w:rPr>
          <w:lang w:val="es-AR"/>
        </w:rPr>
        <w:t xml:space="preserve"> </w:t>
      </w:r>
    </w:p>
    <w:p w:rsidR="00364191" w:rsidRDefault="00364191" w:rsidP="00364191">
      <w:pPr>
        <w:pStyle w:val="Prrafodelista"/>
        <w:ind w:left="-142"/>
        <w:rPr>
          <w:b/>
          <w:lang w:val="es-ES"/>
        </w:rPr>
      </w:pPr>
      <w:r w:rsidRPr="00794BE9">
        <w:rPr>
          <w:lang w:val="es-AR"/>
        </w:rPr>
        <w:t xml:space="preserve">solicitarlo a </w:t>
      </w:r>
      <w:hyperlink r:id="rId8" w:history="1">
        <w:r w:rsidRPr="00794BE9">
          <w:rPr>
            <w:rStyle w:val="Hipervnculo"/>
            <w:rFonts w:ascii="Arial" w:hAnsi="Arial" w:cs="Arial"/>
            <w:sz w:val="24"/>
            <w:szCs w:val="24"/>
            <w:lang w:val="es-AR"/>
          </w:rPr>
          <w:t>gestionculturalfoga@ortegaygasset.com.ar</w:t>
        </w:r>
      </w:hyperlink>
      <w:r w:rsidRPr="00794BE9">
        <w:rPr>
          <w:lang w:val="es-AR"/>
        </w:rPr>
        <w:t xml:space="preserve">, Andrea </w:t>
      </w:r>
      <w:proofErr w:type="spellStart"/>
      <w:r w:rsidRPr="00794BE9">
        <w:rPr>
          <w:lang w:val="es-AR"/>
        </w:rPr>
        <w:t>Cochetti</w:t>
      </w:r>
      <w:proofErr w:type="spellEnd"/>
      <w:r w:rsidRPr="00794BE9">
        <w:rPr>
          <w:lang w:val="es-AR"/>
        </w:rPr>
        <w:t>.</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8C2E88" w:rsidRDefault="00794BE9" w:rsidP="008C2E88">
      <w:pPr>
        <w:pStyle w:val="Prrafodelista"/>
        <w:ind w:left="-142"/>
        <w:rPr>
          <w:b/>
          <w:lang w:val="es-AR"/>
        </w:rPr>
      </w:pPr>
      <w:r>
        <w:rPr>
          <w:lang w:val="es-ES"/>
        </w:rPr>
        <w:t>Del 18</w:t>
      </w:r>
      <w:r w:rsidR="00364191">
        <w:rPr>
          <w:lang w:val="es-ES"/>
        </w:rPr>
        <w:t xml:space="preserve"> de enero al</w:t>
      </w:r>
      <w:r w:rsidR="00E76DD9">
        <w:rPr>
          <w:lang w:val="es-ES"/>
        </w:rPr>
        <w:t xml:space="preserve"> 27</w:t>
      </w:r>
      <w:bookmarkStart w:id="0" w:name="_GoBack"/>
      <w:bookmarkEnd w:id="0"/>
      <w:r w:rsidR="00C95DFA">
        <w:rPr>
          <w:lang w:val="es-ES"/>
        </w:rPr>
        <w:t xml:space="preserve"> de agosto</w:t>
      </w:r>
      <w:r w:rsidR="008C2E88">
        <w:rPr>
          <w:lang w:val="es-ES"/>
        </w:rPr>
        <w:br/>
      </w:r>
      <w:r w:rsidR="008C2E88">
        <w:rPr>
          <w:lang w:val="es-ES"/>
        </w:rPr>
        <w:br/>
      </w:r>
      <w:r w:rsidR="008C2E88" w:rsidRPr="00D41F0B">
        <w:rPr>
          <w:b/>
          <w:lang w:val="es-AR"/>
        </w:rPr>
        <w:t>ARANCELES</w:t>
      </w:r>
    </w:p>
    <w:p w:rsidR="008C2E88" w:rsidRPr="00D41F0B" w:rsidRDefault="008C2E88" w:rsidP="008C2E88">
      <w:pPr>
        <w:pStyle w:val="Prrafodelista"/>
        <w:ind w:left="-142"/>
        <w:rPr>
          <w:b/>
          <w:lang w:val="es-AR"/>
        </w:rPr>
      </w:pPr>
      <w:r>
        <w:rPr>
          <w:b/>
          <w:lang w:val="es-AR"/>
        </w:rPr>
        <w:t xml:space="preserve">Alumnos argentinos </w:t>
      </w:r>
      <w:r w:rsidRPr="00D41F0B">
        <w:rPr>
          <w:b/>
          <w:lang w:val="es-AR"/>
        </w:rPr>
        <w:t xml:space="preserve"> </w:t>
      </w:r>
    </w:p>
    <w:p w:rsidR="008C2E88" w:rsidRDefault="008C2E88" w:rsidP="008C2E88">
      <w:pPr>
        <w:pStyle w:val="Prrafodelista"/>
        <w:ind w:left="-142"/>
        <w:rPr>
          <w:lang w:val="es-AR"/>
        </w:rPr>
      </w:pPr>
      <w:r w:rsidRPr="00D41F0B">
        <w:rPr>
          <w:lang w:val="es-AR"/>
        </w:rPr>
        <w:t>Costo total del CURSO: $3800</w:t>
      </w:r>
      <w:r w:rsidRPr="00D41F0B">
        <w:rPr>
          <w:lang w:val="es-AR"/>
        </w:rPr>
        <w:br/>
        <w:t>Costo con Becas FOGA y UCSF de reducción arancelaria: $2800</w:t>
      </w:r>
    </w:p>
    <w:p w:rsidR="008C2E88" w:rsidRDefault="008C2E88" w:rsidP="008C2E88">
      <w:pPr>
        <w:pStyle w:val="Prrafodelista"/>
        <w:ind w:left="-142"/>
        <w:rPr>
          <w:lang w:val="es-AR"/>
        </w:rPr>
      </w:pPr>
    </w:p>
    <w:p w:rsidR="008C2E88" w:rsidRPr="00F37A5D" w:rsidRDefault="008C2E88" w:rsidP="008C2E88">
      <w:pPr>
        <w:pStyle w:val="Prrafodelista"/>
        <w:ind w:left="-142"/>
        <w:rPr>
          <w:b/>
          <w:lang w:val="es-AR"/>
        </w:rPr>
      </w:pPr>
      <w:r w:rsidRPr="00F37A5D">
        <w:rPr>
          <w:b/>
          <w:lang w:val="es-AR"/>
        </w:rPr>
        <w:t xml:space="preserve">Alumnos extranjeros </w:t>
      </w:r>
    </w:p>
    <w:p w:rsidR="00CB50F1" w:rsidRDefault="008C2E88" w:rsidP="008C2E88">
      <w:pPr>
        <w:pStyle w:val="Prrafodelista"/>
        <w:ind w:left="-142"/>
        <w:rPr>
          <w:b/>
          <w:lang w:val="es-ES"/>
        </w:rPr>
      </w:pPr>
      <w:r>
        <w:rPr>
          <w:lang w:val="es-AR"/>
        </w:rPr>
        <w:t>Costo total del CURSO: dólares 200</w:t>
      </w:r>
      <w:r w:rsidRPr="00FC209E">
        <w:rPr>
          <w:lang w:val="es-AR"/>
        </w:rPr>
        <w:br/>
        <w:t>Costo con Becas FOGA y UCSF de</w:t>
      </w:r>
      <w:r>
        <w:rPr>
          <w:lang w:val="es-AR"/>
        </w:rPr>
        <w:t xml:space="preserve"> reducción arancelaria: dólares 150</w:t>
      </w:r>
      <w:r>
        <w:rPr>
          <w:lang w:val="es-AR"/>
        </w:rPr>
        <w:br/>
      </w:r>
    </w:p>
    <w:p w:rsidR="008C2E88" w:rsidRDefault="008C2E88" w:rsidP="008C2E88">
      <w:pPr>
        <w:pStyle w:val="Prrafodelista"/>
        <w:ind w:left="-142"/>
        <w:rPr>
          <w:lang w:val="es-ES"/>
        </w:rPr>
      </w:pPr>
      <w:r>
        <w:rPr>
          <w:b/>
          <w:lang w:val="es-ES"/>
        </w:rPr>
        <w:t>Becas FOGA y UCSF de reducción arancelaria</w:t>
      </w:r>
    </w:p>
    <w:p w:rsidR="008C2E88" w:rsidRDefault="008C2E88" w:rsidP="008C2E88">
      <w:pPr>
        <w:pStyle w:val="Prrafodelista"/>
        <w:ind w:left="-142"/>
        <w:rPr>
          <w:lang w:val="es-ES"/>
        </w:rPr>
      </w:pPr>
      <w:r>
        <w:rPr>
          <w:lang w:val="es-ES"/>
        </w:rPr>
        <w:t>Se otorgará un cupo limitado de becas de reducción arancelaria en función de la trayectoria académica y la situación económica del candidato.</w:t>
      </w:r>
    </w:p>
    <w:p w:rsidR="008C2E88" w:rsidRPr="00D41F0B" w:rsidRDefault="008C2E88" w:rsidP="008C2E88">
      <w:pPr>
        <w:pStyle w:val="Prrafodelista"/>
        <w:ind w:left="-142"/>
        <w:rPr>
          <w:lang w:val="es-AR"/>
        </w:rPr>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w:t>
      </w:r>
      <w:proofErr w:type="spellStart"/>
      <w:r>
        <w:rPr>
          <w:lang w:val="es-ES"/>
        </w:rPr>
        <w:t>Curriculum</w:t>
      </w:r>
      <w:proofErr w:type="spellEnd"/>
      <w:r>
        <w:rPr>
          <w:lang w:val="es-ES"/>
        </w:rPr>
        <w:t xml:space="preserve"> Vitae actualizado </w:t>
      </w:r>
      <w:r>
        <w:rPr>
          <w:lang w:val="es-ES"/>
        </w:rPr>
        <w:br/>
      </w:r>
      <w:r w:rsidRPr="00D41F0B">
        <w:rPr>
          <w:lang w:val="es-AR"/>
        </w:rPr>
        <w:t>-Carta con Justificación del pedido de beca</w:t>
      </w:r>
    </w:p>
    <w:p w:rsidR="008C2E88" w:rsidRPr="00D41F0B" w:rsidRDefault="008C2E88" w:rsidP="008C2E88">
      <w:pPr>
        <w:pStyle w:val="Prrafodelista"/>
        <w:ind w:left="-142"/>
        <w:rPr>
          <w:b/>
          <w:lang w:val="es-AR"/>
        </w:rPr>
      </w:pPr>
      <w:r w:rsidRPr="00D41F0B">
        <w:rPr>
          <w:b/>
          <w:lang w:val="es-AR"/>
        </w:rPr>
        <w:t>Los alumnos y ex alumnos FOGA Y UCSF gozarán del otorgamiento de a Beca de manera automática.</w:t>
      </w:r>
    </w:p>
    <w:p w:rsidR="008C2E88" w:rsidRPr="00D41F0B" w:rsidRDefault="008C2E88" w:rsidP="008C2E88">
      <w:pPr>
        <w:pStyle w:val="Prrafodelista"/>
        <w:ind w:left="-142"/>
        <w:rPr>
          <w:lang w:val="es-AR"/>
        </w:rPr>
      </w:pPr>
    </w:p>
    <w:p w:rsidR="008C2E88" w:rsidRDefault="008C2E88" w:rsidP="008C2E88">
      <w:pPr>
        <w:pStyle w:val="Prrafodelista"/>
        <w:ind w:left="-142"/>
        <w:rPr>
          <w:lang w:val="es-ES"/>
        </w:rPr>
      </w:pPr>
    </w:p>
    <w:p w:rsidR="008C2E88" w:rsidRPr="00D41F0B" w:rsidRDefault="008C2E88" w:rsidP="008C2E88">
      <w:pPr>
        <w:pStyle w:val="Prrafodelista"/>
        <w:ind w:left="-142"/>
        <w:rPr>
          <w:b/>
          <w:lang w:val="es-AR"/>
        </w:rPr>
      </w:pPr>
      <w:r w:rsidRPr="00D41F0B">
        <w:rPr>
          <w:b/>
          <w:lang w:val="es-AR"/>
        </w:rPr>
        <w:t>INFORMACIÓN DE CONTACTO para consultas e inscripción</w:t>
      </w:r>
    </w:p>
    <w:p w:rsidR="008C2E88" w:rsidRPr="00D41F0B" w:rsidRDefault="008C2E88" w:rsidP="008C2E88">
      <w:pPr>
        <w:pStyle w:val="Prrafodelista"/>
        <w:ind w:left="-142"/>
        <w:rPr>
          <w:lang w:val="es-AR"/>
        </w:rPr>
      </w:pPr>
      <w:r w:rsidRPr="00D41F0B">
        <w:rPr>
          <w:b/>
          <w:lang w:val="es-AR"/>
        </w:rPr>
        <w:t>Andrea Nora Cochetti</w:t>
      </w:r>
      <w:r w:rsidRPr="00D41F0B">
        <w:rPr>
          <w:lang w:val="es-AR"/>
        </w:rPr>
        <w:t xml:space="preserve"> - Gestión Cultural y Patrimonio</w:t>
      </w:r>
    </w:p>
    <w:p w:rsidR="00364191" w:rsidRPr="00794BE9" w:rsidRDefault="00E21B38" w:rsidP="00364191">
      <w:pPr>
        <w:pStyle w:val="Prrafodelista"/>
        <w:ind w:left="-142"/>
        <w:rPr>
          <w:b/>
          <w:lang w:val="es-AR"/>
        </w:rPr>
      </w:pPr>
      <w:hyperlink r:id="rId10" w:tgtFrame="_blank" w:history="1">
        <w:r w:rsidR="008C2E88" w:rsidRPr="00D41F0B">
          <w:rPr>
            <w:rStyle w:val="Hipervnculo"/>
            <w:rFonts w:ascii="Arial" w:hAnsi="Arial" w:cs="Arial"/>
            <w:bCs/>
            <w:sz w:val="24"/>
            <w:szCs w:val="24"/>
            <w:lang w:val="es-AR"/>
          </w:rPr>
          <w:t>gestionculturalfoga@ortegaygasset.com.ar</w:t>
        </w:r>
      </w:hyperlink>
    </w:p>
    <w:p w:rsidR="00364191" w:rsidRPr="00794BE9" w:rsidRDefault="00364191" w:rsidP="00364191">
      <w:pPr>
        <w:pStyle w:val="Prrafodelista"/>
        <w:ind w:left="-142"/>
        <w:rPr>
          <w:lang w:val="es-AR"/>
        </w:rPr>
      </w:pPr>
      <w:r w:rsidRPr="00794BE9">
        <w:rPr>
          <w:lang w:val="es-AR"/>
        </w:rPr>
        <w:t>Tel. (54 11) 4314-2809 / Tel/ Fax: (54 11) 5555-5452</w:t>
      </w:r>
    </w:p>
    <w:p w:rsidR="00364191" w:rsidRPr="00794BE9" w:rsidRDefault="00364191" w:rsidP="00364191">
      <w:pPr>
        <w:pStyle w:val="Prrafodelista"/>
        <w:ind w:left="-142"/>
        <w:rPr>
          <w:b/>
          <w:lang w:val="es-AR"/>
        </w:rPr>
      </w:pPr>
    </w:p>
    <w:p w:rsidR="00364191" w:rsidRPr="00794BE9" w:rsidRDefault="00364191" w:rsidP="00364191">
      <w:pPr>
        <w:pStyle w:val="Prrafodelista"/>
        <w:ind w:left="-142"/>
        <w:rPr>
          <w:b/>
          <w:lang w:val="es-AR"/>
        </w:rPr>
      </w:pPr>
    </w:p>
    <w:p w:rsidR="00364191" w:rsidRPr="00794BE9" w:rsidRDefault="00364191" w:rsidP="00364191">
      <w:pPr>
        <w:rPr>
          <w:rFonts w:ascii="Calibri" w:hAnsi="Calibri" w:cs="Calibri"/>
          <w:b/>
          <w:lang w:val="es-AR"/>
        </w:rPr>
      </w:pPr>
    </w:p>
    <w:p w:rsidR="00364191" w:rsidRPr="00794BE9" w:rsidRDefault="00364191" w:rsidP="00364191">
      <w:pPr>
        <w:rPr>
          <w:rFonts w:ascii="Calibri" w:hAnsi="Calibri" w:cs="Calibri"/>
          <w:b/>
          <w:lang w:val="es-AR"/>
        </w:rPr>
      </w:pPr>
    </w:p>
    <w:p w:rsidR="00364191" w:rsidRPr="00794BE9" w:rsidRDefault="00364191" w:rsidP="00364191">
      <w:pPr>
        <w:rPr>
          <w:rFonts w:ascii="Calibri" w:hAnsi="Calibri" w:cs="Calibri"/>
          <w:b/>
          <w:lang w:val="es-AR"/>
        </w:rPr>
      </w:pPr>
    </w:p>
    <w:p w:rsidR="00364191" w:rsidRPr="00794BE9" w:rsidRDefault="00364191" w:rsidP="00364191">
      <w:pPr>
        <w:rPr>
          <w:rFonts w:ascii="Calibri" w:hAnsi="Calibri" w:cs="Calibri"/>
          <w:b/>
          <w:lang w:val="es-AR"/>
        </w:rPr>
      </w:pPr>
    </w:p>
    <w:p w:rsidR="00364191" w:rsidRPr="00794BE9" w:rsidRDefault="00364191" w:rsidP="00364191">
      <w:pPr>
        <w:rPr>
          <w:rFonts w:ascii="Calibri" w:hAnsi="Calibri" w:cs="Calibri"/>
          <w:lang w:val="es-AR"/>
        </w:rPr>
      </w:pPr>
      <w:r w:rsidRPr="00794BE9">
        <w:rPr>
          <w:rFonts w:ascii="Calibri" w:hAnsi="Calibri" w:cs="Calibri"/>
          <w:b/>
          <w:lang w:val="es-AR"/>
        </w:rPr>
        <w:lastRenderedPageBreak/>
        <w:t>DIRECCIÓN ACADEMICA</w:t>
      </w:r>
      <w:r w:rsidRPr="00794BE9">
        <w:rPr>
          <w:rFonts w:ascii="Calibri" w:hAnsi="Calibri" w:cs="Calibri"/>
          <w:lang w:val="es-AR"/>
        </w:rPr>
        <w:t>: Dr. Arq. Rubén Chiappero</w:t>
      </w:r>
      <w:r w:rsidRPr="00794BE9">
        <w:rPr>
          <w:rFonts w:ascii="Calibri" w:hAnsi="Calibri" w:cs="Calibri"/>
          <w:lang w:val="es-AR"/>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sidRPr="00794BE9">
        <w:rPr>
          <w:rFonts w:ascii="Calibri" w:hAnsi="Calibri" w:cs="Calibri"/>
          <w:i/>
          <w:lang w:val="es-AR"/>
        </w:rPr>
        <w:t xml:space="preserve">Santa Fe en la gestación y desarrollo de la Argentina, </w:t>
      </w:r>
      <w:r w:rsidRPr="00794BE9">
        <w:rPr>
          <w:rFonts w:ascii="Calibri" w:hAnsi="Calibri" w:cs="Calibri"/>
          <w:lang w:val="es-AR"/>
        </w:rPr>
        <w:t xml:space="preserve">Santa Fe, Gobierno de Santa Fe-Junta Provincial de Estudios Históricos, 2015. Autor de Capítulo de libro </w:t>
      </w:r>
      <w:r w:rsidRPr="00794BE9">
        <w:rPr>
          <w:rFonts w:ascii="Calibri" w:hAnsi="Calibri" w:cs="Calibri"/>
          <w:i/>
          <w:lang w:val="es-AR"/>
        </w:rPr>
        <w:t>Centenario de la Independencia Nacional 1816-2016</w:t>
      </w:r>
      <w:r w:rsidRPr="00794BE9">
        <w:rPr>
          <w:rFonts w:ascii="Calibri" w:hAnsi="Calibri" w:cs="Calibri"/>
          <w:lang w:val="es-AR"/>
        </w:rPr>
        <w:t xml:space="preserve">, Santa Fe, </w:t>
      </w:r>
      <w:r w:rsidR="00794BE9" w:rsidRPr="00794BE9">
        <w:rPr>
          <w:rFonts w:ascii="Calibri" w:hAnsi="Calibri" w:cs="Calibri"/>
          <w:lang w:val="es-AR"/>
        </w:rPr>
        <w:t>Junta Provincial</w:t>
      </w:r>
      <w:r w:rsidRPr="00794BE9">
        <w:rPr>
          <w:rFonts w:ascii="Calibri" w:hAnsi="Calibri" w:cs="Calibri"/>
          <w:lang w:val="es-AR"/>
        </w:rPr>
        <w:t xml:space="preserve">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sidRPr="00794BE9">
        <w:rPr>
          <w:rFonts w:ascii="Calibri" w:hAnsi="Calibri" w:cs="Calibri"/>
          <w:lang w:val="es-AR"/>
        </w:rPr>
        <w:br/>
      </w:r>
      <w:r w:rsidRPr="00794BE9">
        <w:rPr>
          <w:rFonts w:ascii="Calibri" w:hAnsi="Calibri" w:cs="Calibri"/>
          <w:lang w:val="es-AR"/>
        </w:rPr>
        <w:br/>
      </w:r>
      <w:r w:rsidRPr="00794BE9">
        <w:rPr>
          <w:rFonts w:ascii="Calibri" w:hAnsi="Calibri" w:cs="Calibri"/>
          <w:b/>
          <w:lang w:val="es-AR"/>
        </w:rPr>
        <w:t>COORDINACION ACÁDEMA</w:t>
      </w:r>
      <w:r w:rsidR="00794BE9">
        <w:rPr>
          <w:rFonts w:ascii="Calibri" w:hAnsi="Calibri" w:cs="Calibri"/>
          <w:b/>
          <w:lang w:val="es-AR"/>
        </w:rPr>
        <w:t xml:space="preserve"> y</w:t>
      </w:r>
      <w:r w:rsidR="00794BE9" w:rsidRPr="00794BE9">
        <w:rPr>
          <w:rFonts w:cstheme="minorHAnsi"/>
          <w:b/>
          <w:lang w:val="es-AR"/>
        </w:rPr>
        <w:t xml:space="preserve"> Docente</w:t>
      </w:r>
      <w:r w:rsidR="00794BE9">
        <w:rPr>
          <w:rFonts w:ascii="Calibri" w:hAnsi="Calibri" w:cs="Calibri"/>
          <w:b/>
          <w:lang w:val="es-AR"/>
        </w:rPr>
        <w:t xml:space="preserve"> </w:t>
      </w:r>
      <w:r w:rsidRPr="00794BE9">
        <w:rPr>
          <w:rFonts w:ascii="Calibri" w:hAnsi="Calibri" w:cs="Calibri"/>
          <w:lang w:val="es-AR"/>
        </w:rPr>
        <w:t>: Arq. Andrea González</w:t>
      </w:r>
      <w:r w:rsidRPr="00794BE9">
        <w:rPr>
          <w:rFonts w:ascii="Calibri" w:hAnsi="Calibri" w:cs="Calibri"/>
          <w:lang w:val="es-AR"/>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sidRPr="00794BE9">
        <w:rPr>
          <w:rFonts w:ascii="Calibri" w:hAnsi="Calibri" w:cs="Calibri"/>
          <w:lang w:val="es-AR"/>
        </w:rPr>
        <w:lastRenderedPageBreak/>
        <w:t xml:space="preserve">2005. Evaluación de proyectos de obras públicas financiados por el Banco Mundial. Asistencia Técnica </w:t>
      </w:r>
      <w:r w:rsidR="00794BE9" w:rsidRPr="00794BE9">
        <w:rPr>
          <w:rFonts w:ascii="Calibri" w:hAnsi="Calibri" w:cs="Calibri"/>
          <w:lang w:val="es-AR"/>
        </w:rPr>
        <w:t>a Municipios</w:t>
      </w:r>
      <w:r w:rsidRPr="00794BE9">
        <w:rPr>
          <w:rFonts w:ascii="Calibri" w:hAnsi="Calibri" w:cs="Calibri"/>
          <w:lang w:val="es-AR"/>
        </w:rPr>
        <w:t xml:space="preserve"> y ONG del Conurbano Bonaerense en la formulación y seguimiento de proyectos.  Ministerio de Cultura y Educación. Prov. de Santa Fe. 03-1997/12-1997. Integrante del equipo técnico de diseño de escuelas provinciales.  HNTB Corporation. Kansas City, Missouri. EE.UU. 01-1996/06-1996. Pasantía como arquitecta junior en las áreas de Arquitectura para la salud, deportiva y cultural de la empresa.   Titular de Cátedra “Patrimonio Turístico Nacional”. Carrera: Licenciatura en Turismo.  Facultad de Ciencias Empresariales y Sociales. UCES, CABA, Argentina.  </w:t>
      </w:r>
      <w:r w:rsidR="00794BE9" w:rsidRPr="00794BE9">
        <w:rPr>
          <w:rFonts w:ascii="Calibri" w:hAnsi="Calibri" w:cs="Calibri"/>
          <w:lang w:val="es-AR"/>
        </w:rPr>
        <w:t>BECAS Y</w:t>
      </w:r>
      <w:r w:rsidRPr="00794BE9">
        <w:rPr>
          <w:rFonts w:ascii="Calibri" w:hAnsi="Calibri" w:cs="Calibri"/>
          <w:lang w:val="es-AR"/>
        </w:rPr>
        <w:t xml:space="preserve"> MENCIONES OBTENIDAS. Primer Encuentro-Taller sobre “PAISAJES CULTURALES: su comprensión, protección y gestión”. Programa “Pa</w:t>
      </w:r>
      <w:r w:rsidR="00693F8B">
        <w:rPr>
          <w:rFonts w:ascii="Calibri" w:hAnsi="Calibri" w:cs="Calibri"/>
          <w:lang w:val="es-AR"/>
        </w:rPr>
        <w:t>trimonio para el Desarrollo” de A</w:t>
      </w:r>
      <w:r w:rsidR="00693F8B" w:rsidRPr="00794BE9">
        <w:rPr>
          <w:rFonts w:ascii="Calibri" w:hAnsi="Calibri" w:cs="Calibri"/>
          <w:lang w:val="es-AR"/>
        </w:rPr>
        <w:t>ECID (</w:t>
      </w:r>
      <w:r w:rsidRPr="00794BE9">
        <w:rPr>
          <w:rFonts w:ascii="Calibri" w:hAnsi="Calibri" w:cs="Calibri"/>
          <w:lang w:val="es-AR"/>
        </w:rPr>
        <w:t xml:space="preserve">Agencia Española de Cooperación Internacional para el Desarrollo). Cartagena de </w:t>
      </w:r>
      <w:r w:rsidR="00693F8B" w:rsidRPr="00794BE9">
        <w:rPr>
          <w:rFonts w:ascii="Calibri" w:hAnsi="Calibri" w:cs="Calibri"/>
          <w:lang w:val="es-AR"/>
        </w:rPr>
        <w:t>Indias, Colombia</w:t>
      </w:r>
      <w:r w:rsidRPr="00794BE9">
        <w:rPr>
          <w:rFonts w:ascii="Calibri" w:hAnsi="Calibri" w:cs="Calibri"/>
          <w:lang w:val="es-AR"/>
        </w:rPr>
        <w:t>. Octubre de 2010</w:t>
      </w:r>
      <w:r w:rsidRPr="00794BE9">
        <w:rPr>
          <w:rFonts w:ascii="Calibri" w:hAnsi="Calibri" w:cs="Calibri"/>
          <w:b/>
          <w:lang w:val="es-AR"/>
        </w:rPr>
        <w:t xml:space="preserve">.  </w:t>
      </w:r>
    </w:p>
    <w:p w:rsidR="006F4ADA" w:rsidRPr="006F4ADA" w:rsidRDefault="00364191" w:rsidP="006F4ADA">
      <w:pPr>
        <w:pStyle w:val="m5241357011462407202msolistparagraph"/>
        <w:shd w:val="clear" w:color="auto" w:fill="FFFFFF"/>
        <w:spacing w:after="0" w:line="360" w:lineRule="auto"/>
        <w:rPr>
          <w:rFonts w:asciiTheme="minorHAnsi" w:hAnsiTheme="minorHAnsi" w:cstheme="minorHAnsi"/>
          <w:bCs/>
          <w:sz w:val="22"/>
          <w:szCs w:val="22"/>
          <w:lang w:val="es-AR"/>
        </w:rPr>
      </w:pPr>
      <w:r w:rsidRPr="00794BE9">
        <w:rPr>
          <w:rFonts w:asciiTheme="minorHAnsi" w:hAnsiTheme="minorHAnsi" w:cstheme="minorHAnsi"/>
          <w:b/>
          <w:sz w:val="22"/>
          <w:szCs w:val="22"/>
          <w:lang w:val="es-AR"/>
        </w:rPr>
        <w:br/>
      </w:r>
    </w:p>
    <w:sectPr w:rsidR="006F4ADA" w:rsidRPr="006F4ADA"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38" w:rsidRDefault="00E21B38" w:rsidP="00DE199E">
      <w:pPr>
        <w:spacing w:after="0" w:line="240" w:lineRule="auto"/>
      </w:pPr>
      <w:r>
        <w:separator/>
      </w:r>
    </w:p>
  </w:endnote>
  <w:endnote w:type="continuationSeparator" w:id="0">
    <w:p w:rsidR="00E21B38" w:rsidRDefault="00E21B38" w:rsidP="00DE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38" w:rsidRDefault="00E21B38" w:rsidP="00DE199E">
      <w:pPr>
        <w:spacing w:after="0" w:line="240" w:lineRule="auto"/>
      </w:pPr>
      <w:r>
        <w:separator/>
      </w:r>
    </w:p>
  </w:footnote>
  <w:footnote w:type="continuationSeparator" w:id="0">
    <w:p w:rsidR="00E21B38" w:rsidRDefault="00E21B38" w:rsidP="00DE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065C"/>
    <w:rsid w:val="000013DF"/>
    <w:rsid w:val="000347A3"/>
    <w:rsid w:val="00034B2D"/>
    <w:rsid w:val="0008573F"/>
    <w:rsid w:val="000B2DF3"/>
    <w:rsid w:val="000C72A8"/>
    <w:rsid w:val="0012406D"/>
    <w:rsid w:val="0017128E"/>
    <w:rsid w:val="00176CF8"/>
    <w:rsid w:val="00186F1A"/>
    <w:rsid w:val="00212F9C"/>
    <w:rsid w:val="002373DC"/>
    <w:rsid w:val="00243275"/>
    <w:rsid w:val="00243FE9"/>
    <w:rsid w:val="002569F7"/>
    <w:rsid w:val="003024DD"/>
    <w:rsid w:val="00350267"/>
    <w:rsid w:val="00364191"/>
    <w:rsid w:val="00374B31"/>
    <w:rsid w:val="003D2708"/>
    <w:rsid w:val="003D3F29"/>
    <w:rsid w:val="003F31A1"/>
    <w:rsid w:val="00432B9D"/>
    <w:rsid w:val="004764E1"/>
    <w:rsid w:val="00497375"/>
    <w:rsid w:val="004B2BC0"/>
    <w:rsid w:val="004C3E51"/>
    <w:rsid w:val="0051727A"/>
    <w:rsid w:val="00565570"/>
    <w:rsid w:val="0059730F"/>
    <w:rsid w:val="005E0473"/>
    <w:rsid w:val="00626743"/>
    <w:rsid w:val="0063328E"/>
    <w:rsid w:val="006369BE"/>
    <w:rsid w:val="0066755C"/>
    <w:rsid w:val="00693F8B"/>
    <w:rsid w:val="006A4A84"/>
    <w:rsid w:val="006A6E57"/>
    <w:rsid w:val="006B063F"/>
    <w:rsid w:val="006D671D"/>
    <w:rsid w:val="006F12D8"/>
    <w:rsid w:val="006F4ADA"/>
    <w:rsid w:val="007269E6"/>
    <w:rsid w:val="0076550B"/>
    <w:rsid w:val="0077031B"/>
    <w:rsid w:val="00794BE9"/>
    <w:rsid w:val="007B456D"/>
    <w:rsid w:val="007B6CBD"/>
    <w:rsid w:val="0080065C"/>
    <w:rsid w:val="00871C3C"/>
    <w:rsid w:val="008C2E88"/>
    <w:rsid w:val="008E0C35"/>
    <w:rsid w:val="008F4B8E"/>
    <w:rsid w:val="008F5946"/>
    <w:rsid w:val="009208B7"/>
    <w:rsid w:val="00940BD1"/>
    <w:rsid w:val="0096523C"/>
    <w:rsid w:val="00971180"/>
    <w:rsid w:val="009C6D49"/>
    <w:rsid w:val="009D02ED"/>
    <w:rsid w:val="009D5ECB"/>
    <w:rsid w:val="00A11F63"/>
    <w:rsid w:val="00A16862"/>
    <w:rsid w:val="00A27561"/>
    <w:rsid w:val="00A41A37"/>
    <w:rsid w:val="00A43D47"/>
    <w:rsid w:val="00A44E96"/>
    <w:rsid w:val="00A5542C"/>
    <w:rsid w:val="00A84C40"/>
    <w:rsid w:val="00AA16AC"/>
    <w:rsid w:val="00AC08A4"/>
    <w:rsid w:val="00AF08EA"/>
    <w:rsid w:val="00B027AB"/>
    <w:rsid w:val="00B87FBA"/>
    <w:rsid w:val="00B939EB"/>
    <w:rsid w:val="00BF3AF4"/>
    <w:rsid w:val="00C42048"/>
    <w:rsid w:val="00C47896"/>
    <w:rsid w:val="00C95DFA"/>
    <w:rsid w:val="00CB50F1"/>
    <w:rsid w:val="00CB6ECA"/>
    <w:rsid w:val="00DC4331"/>
    <w:rsid w:val="00DE199E"/>
    <w:rsid w:val="00E141EC"/>
    <w:rsid w:val="00E15F04"/>
    <w:rsid w:val="00E21B38"/>
    <w:rsid w:val="00E57563"/>
    <w:rsid w:val="00E76DD9"/>
    <w:rsid w:val="00EB4218"/>
    <w:rsid w:val="00ED3C82"/>
    <w:rsid w:val="00F204A7"/>
    <w:rsid w:val="00F443FD"/>
    <w:rsid w:val="00FE27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FEFEA"/>
  <w15:docId w15:val="{1A6116A3-7F0F-4A5E-8739-6374EA7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38D3-5991-43F2-A10C-25FA5CFA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8</cp:revision>
  <cp:lastPrinted>2018-12-19T17:30:00Z</cp:lastPrinted>
  <dcterms:created xsi:type="dcterms:W3CDTF">2019-01-15T18:00:00Z</dcterms:created>
  <dcterms:modified xsi:type="dcterms:W3CDTF">2019-08-20T14:31:00Z</dcterms:modified>
</cp:coreProperties>
</file>